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3" w:rsidRPr="004C6863" w:rsidRDefault="004C6863" w:rsidP="004C68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686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地暖设计随想</w:t>
      </w:r>
      <w:r w:rsidRPr="004C686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——</w:t>
      </w:r>
      <w:r w:rsidRPr="004C686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《和红塔地暖学地暖》随想</w:t>
      </w:r>
      <w:r w:rsidRPr="004C68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C68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="001C5BD2">
        <w:rPr>
          <w:rFonts w:ascii="Arial" w:eastAsia="宋体" w:hAnsi="Arial" w:cs="Arial" w:hint="eastAsia"/>
          <w:color w:val="222222"/>
          <w:kern w:val="0"/>
          <w:sz w:val="18"/>
          <w:szCs w:val="18"/>
        </w:rPr>
        <w:t>www.bjht.com.cn</w:t>
      </w:r>
      <w:r w:rsidRPr="004C68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b/>
          <w:bCs/>
          <w:color w:val="000000"/>
          <w:kern w:val="0"/>
        </w:rPr>
        <w:t>摘</w:t>
      </w:r>
      <w:r w:rsidRPr="004C6863">
        <w:rPr>
          <w:rFonts w:ascii="Simsun" w:eastAsia="宋体" w:hAnsi="Simsun" w:cs="宋体"/>
          <w:b/>
          <w:bCs/>
          <w:color w:val="000000"/>
          <w:kern w:val="0"/>
        </w:rPr>
        <w:t xml:space="preserve"> </w:t>
      </w:r>
      <w:r w:rsidRPr="004C6863">
        <w:rPr>
          <w:rFonts w:ascii="Simsun" w:eastAsia="宋体" w:hAnsi="Simsun" w:cs="宋体"/>
          <w:b/>
          <w:bCs/>
          <w:color w:val="000000"/>
          <w:kern w:val="0"/>
        </w:rPr>
        <w:t>要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：为了保证出图质量，相关部门应制定劳动定额，保证设计师有足够的工作时间；地暖间距的确定要把理论计算和实践经验结合，体现相对热指标相对间距。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b/>
          <w:bCs/>
          <w:color w:val="000000"/>
          <w:kern w:val="0"/>
        </w:rPr>
        <w:t>关键字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：劳动定额；相对热指标相对间距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b/>
          <w:bCs/>
          <w:color w:val="000000"/>
          <w:kern w:val="0"/>
        </w:rPr>
        <w:t>正</w:t>
      </w:r>
      <w:r w:rsidRPr="004C6863">
        <w:rPr>
          <w:rFonts w:ascii="Simsun" w:eastAsia="宋体" w:hAnsi="Simsun" w:cs="宋体"/>
          <w:b/>
          <w:bCs/>
          <w:color w:val="000000"/>
          <w:kern w:val="0"/>
        </w:rPr>
        <w:t xml:space="preserve"> </w:t>
      </w:r>
      <w:r w:rsidRPr="004C6863">
        <w:rPr>
          <w:rFonts w:ascii="Simsun" w:eastAsia="宋体" w:hAnsi="Simsun" w:cs="宋体"/>
          <w:b/>
          <w:bCs/>
          <w:color w:val="000000"/>
          <w:kern w:val="0"/>
        </w:rPr>
        <w:t>文：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一觉醒来，忽然想起点关于地暖的事，便再也无心安睡，打开笔记本，敲下这几行文字。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作为红塔地暖的老朋友，也许你会觉得这些文字似曾相识，但的确与众不同，此文异于它也。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第一点，应该给设计师应有的尊重，这体现在给他们足够的劳动定额时间和应有的报酬。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设计师的凄惨命运。如今所谓的地暖设计，无非成了体力活。有经验的设计师都知道，一般的民用建筑，地暖的基本用不用计算，间距一般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都够用。在我来到这个公司之前，有个</w:t>
      </w:r>
      <w:r>
        <w:rPr>
          <w:rFonts w:ascii="Simsun" w:eastAsia="宋体" w:hAnsi="Simsun" w:cs="宋体"/>
          <w:color w:val="000000"/>
          <w:kern w:val="0"/>
          <w:szCs w:val="21"/>
        </w:rPr>
        <w:t>安德豪特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的安装公司垄断了我们设计公司的地暖设计和安装的工程。我们经理说，</w:t>
      </w:r>
      <w:r>
        <w:rPr>
          <w:rFonts w:ascii="Simsun" w:eastAsia="宋体" w:hAnsi="Simsun" w:cs="宋体"/>
          <w:color w:val="000000"/>
          <w:kern w:val="0"/>
          <w:szCs w:val="21"/>
        </w:rPr>
        <w:t>安德豪特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的王工手下有一帮小姑娘专门画地暖，系统图由王工来画。换句话说，也就是立管的管径需要算算，有点技术含量。当我们不了解地暖的时候觉得它很神秘，总怕自己设计或安装不好会不热，实际上，当做地暖的工人一抓一大把的时候，盘地暖管甚至比安装暖气片更容易，毕竟他连管钳子都不需要。我弟弟原来在做中央空调的公司，他说他们干活基本不看图纸，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直接盘，比我牛多了！有甚者，不同管径的塑料管热熔连接的时候，连变径都省了，直接热熔对接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……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工人阶级的智慧真是无穷啊！当地暖设计沦为了普通的体力活，当红塔地暖这样的工程师也遭遇了一次绘制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万平米的地暖被开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千元人名币劳务费的时候，我只能自己安慰自己：下次开多少钱，给干多少活！设计行业有个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2000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年的设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lastRenderedPageBreak/>
        <w:t>计劳动定额，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多年过去了，设计行业执行的还是那本定额，可我们相当一部分的设计师估计连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年前的待遇都达不到。就像那首歌唱的，三百六十五里路，风餐露宿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……       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409825" cy="1685925"/>
            <wp:effectExtent l="19050" t="0" r="9525" b="0"/>
            <wp:docPr id="1" name="图片 1" descr="http://www.bjht.com.cn/upload_files/article/221/1_yk9kf__2013100811202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ht.com.cn/upload_files/article/221/1_yk9kf__20131008112028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我想我和很多的卑微的设计师一样，都已经沦为了出卖体力的绘图员，为了那三五千一个月的工资挣扎着，为了多出点面积拼命干活。同在一个办公室，建筑设计师一个工作日能拿三四百的提成，如果按同工同酬计算，一平米提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分钱的话，我必须完成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6000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㎡～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8000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㎡才能与其收入相当（按照图纸审查要求，我们还要完成对应的计算书）！我们甚至没时间思考，基本上去就是间距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250mm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、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，因为这项工程完了你还有下一项任务。等绩效考核的时候，算下来再怎么拼命干也比建筑师少三分之一。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鉴于此，红塔地暖觉得首要任务应该出个设计定额，保证设计师有足够的时间和良好的待遇，这样可以让我们的设计师有时间思考如何设计，才能获得更高的热舒适度。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21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世纪劳动力有的是，缺乏的是人才，当人才沦为体力劳动者，多少也是一种悲哀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……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第二点：在保证第一点的前提下，我想我们的地暖设计需要核心技术。这些所谓的核心技术就是对已有知识和经验的积累，浓缩出的精华。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我们知道，如今的节能建筑的能耗是很小的。以唐山地区为例，居住建筑的平均热指标大概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㎡，公共建筑的热指标大概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40W/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㎡。各省市都制定了相应的节能标注，限制了建筑的能耗。相对上世界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80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年代，居住建筑的能耗标准是节能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65%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，公共建筑执行的是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50%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，故热指标相对较大。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lastRenderedPageBreak/>
        <w:t>让我们一起翻开新的地暖规程到附录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B.1.1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：此表的使用条件为：当采用导热系数为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0.38W/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m•K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）的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PE-X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管时，计算条件为加热管公称外径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，填充层厚度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，聚苯乙烯泡沫塑料绝热导热层导热系数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0.041W/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m•K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）、厚度为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，供回水温差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；水泥、石材或陶瓷面层热阻为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0.02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•K/W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。我们知道为了地暖温度的均匀，为了获得比较好的热舒适性，地暖间距一般不大于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，华北标准图集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05N1-77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第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2.8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条也有类似的规定：加热管的间距不宜大于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。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  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476500" cy="4552950"/>
            <wp:effectExtent l="19050" t="0" r="0" b="0"/>
            <wp:docPr id="2" name="图片 2" descr="http://www.bjht.com.cn/upload_files/article/221/1_iq4u7__2013100811214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ht.com.cn/upload_files/article/221/1_iq4u7__20131008112146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在表附录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B.1.1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中取间距为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，平均水温取在最低的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35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，室内空气温度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的时候，单位地面面积的向上供热量为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64.6W/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㎡，向下的供热量是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15.6W/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㎡。而我们刚才说了，唐山地区的采暖平均热指标大概是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40W/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㎡，间距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基本都够用。极个别出现在上墙角、顶层或底层的房间可能超过此范围，需要适当加密。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lastRenderedPageBreak/>
        <w:t>请注意，唐山地区的室外采暖设计温度是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-9.2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，在北方的寒冷地区具有一定的代表性；间距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基本够用的结论是在规范列表最低平均水温时得到的结论。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一般来说，只有利用工业余热、热泵的时候才会考虑这么低的运行温度。如果是由较高的市政热水置换而来的热水，一般可以高于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35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。也就是只要把平均水温提高一点，房间满盘间距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的盘管，节能建筑根本没有不热的情况。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都按间距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盘管，能满足温度达标的要求，但是这么做舒服吗？这种做法和每个房间都是按面积布置暖气片的效果是一样的。比如某种型号的散热器，土专家的使用方法是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8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片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/10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㎡。例如：某个房间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平方米，需要布置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片；某个房间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平方米，需要布置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8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片；某个房间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平方米，需要布置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16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片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……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新暖规和新地暖规程都要求我们逐个房间逐项进行负荷计算。某个房间的采暖热负荷只和其外围护结构有关，包括外门、外窗、外墙、屋顶。与相邻房间的温差大于或等于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时，应计算通过隔墙或楼板等的传热量。与相邻房间的温差小于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，且通过隔墙和楼板等的传热量大于该房间热负荷的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％时，尚应计算其传热量。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都按间距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盘管，满足热的要求，但不会很舒服，可能最先这样的情况：房间已经达到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，但某些房间由于供给的热量远远超出了所需，温度继续升高继而达到热平衡：房间供热量等于房间消耗的热量，最终可能达到了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23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或者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25</w:t>
      </w:r>
      <w:r w:rsidRPr="004C6863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另一方面，个别设计院根据经验设置设计出了内部间距选用表格：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705100" cy="342900"/>
            <wp:effectExtent l="19050" t="0" r="0" b="0"/>
            <wp:docPr id="3" name="图片 3" descr="http://www.bjht.com.cn/upload_files/article/221/1_gt9rn__2013100811223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gt9rn__20131008112233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而实际上，根据规范的限制及实际工程来看，地暖盘管的间距一般都在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200mm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300mm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之间。进行负荷计算的意义不是来精确确定盘管间距，而是做为设计的参考。设计人员根据房间相对负荷选择相对的间距。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lastRenderedPageBreak/>
        <w:t>一般来说，同样的房间，北面的房间要比南边不盘的密些，把边的比中间的密些，顶层和首层要比中间层密些。这样似乎考虑了根据房间相对位置来选择间距的做法，但是光凭位置，是不够科学的，房间热指标的大小并非取决于房间位置，而是取决个外维围护的综合作用，需要逐项计算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我们能不能把计算和经验结合起来呢？下面我们谈谈盘管间距。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647950" cy="590550"/>
            <wp:effectExtent l="19050" t="0" r="0" b="0"/>
            <wp:docPr id="4" name="图片 4" descr="http://www.bjht.com.cn/upload_files/article/221/1_ptqpw__201310081123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ht.com.cn/upload_files/article/221/1_ptqpw__20131008112301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显然，参考了精确计算热负荷而采用的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建议间距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充分结合了理论计算和实践经验，体现了根据相对热指标的大小进行盘管的合理性，必将给业主带来更大的舒适性。而这些却是你在任何手册和规范都查不到的，需要我们自己的积累。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最后，谢谢你和红塔地暖一起学完此篇，希望您从中得到启示。如果您在工作或学习遇到什么问题，欢迎发邮件到《地暖月刊》编辑部，让我们一起探讨，共同进步。作为地暖月刊的一员，红塔地暖诚挚欢迎您的参与！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b/>
          <w:bCs/>
          <w:color w:val="000000"/>
          <w:kern w:val="0"/>
        </w:rPr>
        <w:t>参阅资料：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《实用供热空调设计手册》（最新版上、下册）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《建筑给水排水及采暖工程施工质量验收规范》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(GB50242-2002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，本文简称为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水暖验规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”)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《民用建筑供暖通风与空气调节设计规范》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(GB50736-2012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，本文简称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新暖规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”)</w:t>
      </w:r>
    </w:p>
    <w:p w:rsidR="004C6863" w:rsidRPr="004C6863" w:rsidRDefault="004C6863" w:rsidP="004C6863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C6863">
        <w:rPr>
          <w:rFonts w:ascii="Simsun" w:eastAsia="宋体" w:hAnsi="Simsun" w:cs="宋体"/>
          <w:color w:val="000000"/>
          <w:kern w:val="0"/>
          <w:szCs w:val="21"/>
        </w:rPr>
        <w:t>《辐射供暖供冷技术规程》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(JGJ142-2012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，本文简称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新地暖规程</w:t>
      </w:r>
      <w:r w:rsidRPr="004C6863">
        <w:rPr>
          <w:rFonts w:ascii="Simsun" w:eastAsia="宋体" w:hAnsi="Simsun" w:cs="宋体"/>
          <w:color w:val="000000"/>
          <w:kern w:val="0"/>
          <w:szCs w:val="21"/>
        </w:rPr>
        <w:t>”)</w:t>
      </w:r>
    </w:p>
    <w:p w:rsidR="00A27835" w:rsidRDefault="004C6863">
      <w:r>
        <w:rPr>
          <w:rFonts w:hint="eastAsia"/>
        </w:rPr>
        <w:t>www.bjht.com.cn</w:t>
      </w:r>
    </w:p>
    <w:sectPr w:rsidR="00A2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35" w:rsidRDefault="00A27835" w:rsidP="004C6863">
      <w:r>
        <w:separator/>
      </w:r>
    </w:p>
  </w:endnote>
  <w:endnote w:type="continuationSeparator" w:id="1">
    <w:p w:rsidR="00A27835" w:rsidRDefault="00A27835" w:rsidP="004C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35" w:rsidRDefault="00A27835" w:rsidP="004C6863">
      <w:r>
        <w:separator/>
      </w:r>
    </w:p>
  </w:footnote>
  <w:footnote w:type="continuationSeparator" w:id="1">
    <w:p w:rsidR="00A27835" w:rsidRDefault="00A27835" w:rsidP="004C6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863"/>
    <w:rsid w:val="001C5BD2"/>
    <w:rsid w:val="004C6863"/>
    <w:rsid w:val="00A2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8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68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C68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C68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6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2536</Characters>
  <Application>Microsoft Office Word</Application>
  <DocSecurity>0</DocSecurity>
  <Lines>21</Lines>
  <Paragraphs>5</Paragraphs>
  <ScaleCrop>false</ScaleCrop>
  <Company>Sky123.Org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2014-04-21T06:56:00Z</dcterms:created>
  <dcterms:modified xsi:type="dcterms:W3CDTF">2014-04-21T06:57:00Z</dcterms:modified>
</cp:coreProperties>
</file>